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</w:rPr>
        <w:drawing>
          <wp:inline distB="114300" distT="114300" distL="114300" distR="114300">
            <wp:extent cx="1200150" cy="1104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USD 336 Athletics/Activities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Covid Guidelines</w:t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Guidelines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spectators will be required to wear a face mask/covering.  No admittance will be granted if a face mask/covering is not worn.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Holton Publics Schools will not limit the amount of spectators allowed during games and activities, at this time.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Spectators</w:t>
      </w:r>
      <w:r w:rsidDel="00000000" w:rsidR="00000000" w:rsidRPr="00000000">
        <w:rPr>
          <w:b w:val="1"/>
          <w:rtl w:val="0"/>
        </w:rPr>
        <w:t xml:space="preserve"> will have their temperature taken by a screener.  If their temperature exceeds </w:t>
      </w:r>
      <w:r w:rsidDel="00000000" w:rsidR="00000000" w:rsidRPr="00000000">
        <w:rPr>
          <w:b w:val="1"/>
          <w:rtl w:val="0"/>
        </w:rPr>
        <w:t xml:space="preserve">100 degrees</w:t>
      </w:r>
      <w:r w:rsidDel="00000000" w:rsidR="00000000" w:rsidRPr="00000000">
        <w:rPr>
          <w:b w:val="1"/>
          <w:rtl w:val="0"/>
        </w:rPr>
        <w:t xml:space="preserve"> they will not be permitted in the facility.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Once the temperature check is complete, the spectator will pay the admission fee and proceed to the seating areas.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spectators will be expected to physically distance themselves from other non household spectators.  Members of the same household should be seated together.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 Student Sections or Unaccompanied students will be allowed to attend.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Any child attending the game will be asked to stay with their parent/guardian for the duration of the event.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Spectators will not be allowed on the playing surface at any time, before, during, or after the event.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Only essential personnel will be allowed near participant groups.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Concessions will be limited to prepackaged and bottled products.  Spectators may only remove their mask while they are actively eating or drinking.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Spectators are only permitted to leave the seating area to visit the restroom or concession stand.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Spectators are not allowed to eat or drink in the gyms.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31.2" w:lineRule="auto"/>
        <w:rPr/>
      </w:pPr>
      <w:r w:rsidDel="00000000" w:rsidR="00000000" w:rsidRPr="00000000">
        <w:rPr>
          <w:b w:val="1"/>
          <w:rtl w:val="0"/>
        </w:rPr>
        <w:t xml:space="preserve">We appreciate your understanding at this time with our limitations as it pertains to spectators.   We know this is a major change, but we want to continue to be able to provide opportunities for our student-athletes, and with your help we will be able to do so.</w:t>
      </w:r>
      <w:r w:rsidDel="00000000" w:rsidR="00000000" w:rsidRPr="00000000">
        <w:rPr>
          <w:rtl w:val="0"/>
        </w:rPr>
      </w:r>
    </w:p>
    <w:sectPr>
      <w:pgSz w:h="15840" w:w="12240"/>
      <w:pgMar w:bottom="5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